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5" w:rsidRDefault="00BC7FC9" w:rsidP="00BC7FC9">
      <w:pPr>
        <w:jc w:val="center"/>
        <w:rPr>
          <w:b/>
          <w:sz w:val="24"/>
          <w:u w:val="single"/>
        </w:rPr>
      </w:pPr>
      <w:r w:rsidRPr="00BC7FC9">
        <w:rPr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7D2710DE">
            <wp:simplePos x="0" y="0"/>
            <wp:positionH relativeFrom="column">
              <wp:posOffset>4456430</wp:posOffset>
            </wp:positionH>
            <wp:positionV relativeFrom="paragraph">
              <wp:posOffset>0</wp:posOffset>
            </wp:positionV>
            <wp:extent cx="232918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76" y="21115"/>
                <wp:lineTo x="21376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FC9">
        <w:rPr>
          <w:b/>
          <w:sz w:val="24"/>
          <w:u w:val="single"/>
        </w:rPr>
        <w:t>Skin Treatment Aftercare</w:t>
      </w:r>
    </w:p>
    <w:p w:rsidR="00BC7FC9" w:rsidRDefault="00BC7FC9" w:rsidP="00BC7FC9">
      <w:pPr>
        <w:jc w:val="center"/>
        <w:rPr>
          <w:b/>
          <w:sz w:val="24"/>
          <w:u w:val="single"/>
        </w:rPr>
      </w:pPr>
    </w:p>
    <w:p w:rsidR="00BC7FC9" w:rsidRPr="00405CE3" w:rsidRDefault="00BC7FC9" w:rsidP="00BC7FC9">
      <w:pPr>
        <w:spacing w:after="0"/>
        <w:rPr>
          <w:b/>
          <w:sz w:val="20"/>
          <w:szCs w:val="20"/>
          <w:u w:val="single"/>
        </w:rPr>
      </w:pPr>
      <w:r w:rsidRPr="00405CE3">
        <w:rPr>
          <w:b/>
          <w:sz w:val="20"/>
          <w:szCs w:val="20"/>
          <w:u w:val="single"/>
        </w:rPr>
        <w:t>Microdermabrasion Aftercare: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book laser or hair removal treatments on any part of your face for 1 week after treatment.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wax for at least 2 weeks.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Avoid direct sun exposure for a minimum of 2 week.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wear make-up for a minimum of 24 hours after.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Any redness, temporary flaking and mild discolouration will disappear after your treatment and can be covered with a light layer of mineral makeup 24 hours after.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Default="00BC7FC9" w:rsidP="00BC7FC9">
      <w:pPr>
        <w:spacing w:after="0"/>
        <w:rPr>
          <w:sz w:val="20"/>
          <w:szCs w:val="20"/>
        </w:rPr>
      </w:pPr>
    </w:p>
    <w:p w:rsidR="00405CE3" w:rsidRPr="00405CE3" w:rsidRDefault="00405CE3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b/>
          <w:sz w:val="20"/>
          <w:szCs w:val="20"/>
          <w:u w:val="single"/>
        </w:rPr>
      </w:pPr>
      <w:r w:rsidRPr="00405CE3">
        <w:rPr>
          <w:b/>
          <w:sz w:val="20"/>
          <w:szCs w:val="20"/>
          <w:u w:val="single"/>
        </w:rPr>
        <w:t>Dermaplaning Aftercare: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book laser or hair removal treatments on any part of your face for 1 week after treatment.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wax for at least 2 weeks.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Avoid direct sun exposure for a minimum of 2 week.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wear make-up for a minimum of 24 hours after.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Any redness, temporary flaking and mild discolouration will disappear after your treatment and can be covered with a light layer of mineral makeup 24 hours after.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Default="00BC7FC9" w:rsidP="00BC7FC9">
      <w:pPr>
        <w:spacing w:after="0"/>
        <w:rPr>
          <w:sz w:val="20"/>
          <w:szCs w:val="20"/>
        </w:rPr>
      </w:pPr>
    </w:p>
    <w:p w:rsidR="00405CE3" w:rsidRPr="00405CE3" w:rsidRDefault="00405CE3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b/>
          <w:sz w:val="20"/>
          <w:szCs w:val="20"/>
          <w:u w:val="single"/>
        </w:rPr>
      </w:pPr>
      <w:r w:rsidRPr="00405CE3">
        <w:rPr>
          <w:b/>
          <w:sz w:val="20"/>
          <w:szCs w:val="20"/>
          <w:u w:val="single"/>
        </w:rPr>
        <w:t>Chemical Peel Aftercare: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Hyaluronic acid (AHA)</w:t>
      </w:r>
      <w:r w:rsidRPr="00405CE3">
        <w:rPr>
          <w:sz w:val="20"/>
          <w:szCs w:val="20"/>
        </w:rPr>
        <w:t xml:space="preserve"> aids healing </w:t>
      </w:r>
      <w:r w:rsidR="00405CE3">
        <w:rPr>
          <w:sz w:val="20"/>
          <w:szCs w:val="20"/>
        </w:rPr>
        <w:t xml:space="preserve">to </w:t>
      </w:r>
      <w:r w:rsidRPr="00405CE3">
        <w:rPr>
          <w:sz w:val="20"/>
          <w:szCs w:val="20"/>
        </w:rPr>
        <w:t>hydrate and nourish your skin. Age Defence SPF 50+ will protect your skin to help maintain your results.</w:t>
      </w:r>
      <w:r w:rsidR="00405CE3">
        <w:rPr>
          <w:sz w:val="20"/>
          <w:szCs w:val="20"/>
        </w:rPr>
        <w:t xml:space="preserve"> </w:t>
      </w:r>
      <w:r w:rsidRPr="00405CE3">
        <w:rPr>
          <w:sz w:val="20"/>
          <w:szCs w:val="20"/>
        </w:rPr>
        <w:t>Do not use other active products such as Retinol and use a gentle cleanser for 5</w:t>
      </w:r>
      <w:r w:rsidRPr="00405CE3">
        <w:rPr>
          <w:sz w:val="20"/>
          <w:szCs w:val="20"/>
        </w:rPr>
        <w:t xml:space="preserve"> </w:t>
      </w:r>
      <w:r w:rsidRPr="00405CE3">
        <w:rPr>
          <w:sz w:val="20"/>
          <w:szCs w:val="20"/>
        </w:rPr>
        <w:t>days.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book laser or hair removal treatments on any part of your face for 4 weeks after treatment.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wax for at least 2 weeks.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Avoid direct sun exposure for a minimum of 2 weeks.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wear make-up for a minimum of 24 hours after.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Any redness, temporary flaking and mild discolouration will disappear after your treatment and can be covered with a light layer of mineral makeup 24 hours after.</w:t>
      </w:r>
    </w:p>
    <w:p w:rsidR="00BC7FC9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DO NOT pick at your skin.</w:t>
      </w:r>
    </w:p>
    <w:p w:rsidR="00405CE3" w:rsidRPr="00405CE3" w:rsidRDefault="00405CE3" w:rsidP="00BC7FC9">
      <w:pPr>
        <w:spacing w:after="0"/>
        <w:rPr>
          <w:sz w:val="20"/>
          <w:szCs w:val="20"/>
        </w:rPr>
      </w:pPr>
    </w:p>
    <w:p w:rsid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You should be aware of the following reactions: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Discomfort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Redness and swelling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Hypopigmentation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Itching or irritation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Skin peeling or flaking up to 14 days after the procedure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Infection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Scarring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Hyper-pigmentation</w:t>
      </w:r>
    </w:p>
    <w:p w:rsidR="00BC7FC9" w:rsidRPr="00405CE3" w:rsidRDefault="00BC7FC9" w:rsidP="00405CE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Acne Breakouts</w:t>
      </w:r>
      <w:bookmarkStart w:id="0" w:name="_GoBack"/>
      <w:bookmarkEnd w:id="0"/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Default="00BC7FC9" w:rsidP="00BC7FC9">
      <w:pPr>
        <w:spacing w:after="0"/>
        <w:rPr>
          <w:sz w:val="20"/>
          <w:szCs w:val="20"/>
        </w:rPr>
      </w:pPr>
    </w:p>
    <w:p w:rsidR="00405CE3" w:rsidRDefault="00405CE3" w:rsidP="00BC7FC9">
      <w:pPr>
        <w:spacing w:after="0"/>
        <w:rPr>
          <w:sz w:val="20"/>
          <w:szCs w:val="20"/>
        </w:rPr>
      </w:pPr>
    </w:p>
    <w:p w:rsidR="00405CE3" w:rsidRDefault="00405CE3" w:rsidP="00BC7FC9">
      <w:pPr>
        <w:spacing w:after="0"/>
        <w:rPr>
          <w:sz w:val="20"/>
          <w:szCs w:val="20"/>
        </w:rPr>
      </w:pPr>
    </w:p>
    <w:p w:rsidR="00405CE3" w:rsidRDefault="00405CE3" w:rsidP="00BC7FC9">
      <w:pPr>
        <w:spacing w:after="0"/>
        <w:rPr>
          <w:sz w:val="20"/>
          <w:szCs w:val="20"/>
        </w:rPr>
      </w:pPr>
    </w:p>
    <w:p w:rsidR="00405CE3" w:rsidRDefault="00405CE3" w:rsidP="00BC7FC9">
      <w:pPr>
        <w:spacing w:after="0"/>
        <w:rPr>
          <w:sz w:val="20"/>
          <w:szCs w:val="20"/>
        </w:rPr>
      </w:pPr>
    </w:p>
    <w:p w:rsidR="00405CE3" w:rsidRDefault="00405CE3" w:rsidP="00BC7FC9">
      <w:pPr>
        <w:spacing w:after="0"/>
        <w:rPr>
          <w:sz w:val="20"/>
          <w:szCs w:val="20"/>
        </w:rPr>
      </w:pPr>
    </w:p>
    <w:p w:rsidR="00405CE3" w:rsidRDefault="00405CE3" w:rsidP="00BC7FC9">
      <w:pPr>
        <w:spacing w:after="0"/>
        <w:rPr>
          <w:sz w:val="20"/>
          <w:szCs w:val="20"/>
        </w:rPr>
      </w:pPr>
    </w:p>
    <w:p w:rsidR="00405CE3" w:rsidRPr="00405CE3" w:rsidRDefault="00405CE3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b/>
          <w:sz w:val="20"/>
          <w:szCs w:val="20"/>
          <w:u w:val="single"/>
        </w:rPr>
      </w:pPr>
      <w:r w:rsidRPr="00405CE3">
        <w:rPr>
          <w:b/>
          <w:sz w:val="20"/>
          <w:szCs w:val="20"/>
          <w:u w:val="single"/>
        </w:rPr>
        <w:lastRenderedPageBreak/>
        <w:t>Skin Needling Aftercare: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Any active cosmeceutical skin care products containing the following active ingredients should be avoided for at least 48 hours after a Skin Needling treatment: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Glycolic</w:t>
      </w:r>
      <w:r w:rsidRPr="00405CE3">
        <w:rPr>
          <w:sz w:val="20"/>
          <w:szCs w:val="20"/>
        </w:rPr>
        <w:t xml:space="preserve">, </w:t>
      </w:r>
      <w:r w:rsidRPr="00405CE3">
        <w:rPr>
          <w:sz w:val="20"/>
          <w:szCs w:val="20"/>
        </w:rPr>
        <w:t xml:space="preserve">Lactic </w:t>
      </w:r>
      <w:r w:rsidRPr="00405CE3">
        <w:rPr>
          <w:sz w:val="20"/>
          <w:szCs w:val="20"/>
        </w:rPr>
        <w:t xml:space="preserve">&amp; Salicylic </w:t>
      </w:r>
      <w:r w:rsidRPr="00405CE3">
        <w:rPr>
          <w:sz w:val="20"/>
          <w:szCs w:val="20"/>
        </w:rPr>
        <w:t xml:space="preserve">Acids 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Vitamin C (Ascorbic/ L-Ascorbic</w:t>
      </w:r>
      <w:r w:rsidRPr="00405CE3">
        <w:rPr>
          <w:sz w:val="20"/>
          <w:szCs w:val="20"/>
        </w:rPr>
        <w:t xml:space="preserve"> </w:t>
      </w:r>
      <w:r w:rsidRPr="00405CE3">
        <w:rPr>
          <w:sz w:val="20"/>
          <w:szCs w:val="20"/>
        </w:rPr>
        <w:t xml:space="preserve">Acid)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 xml:space="preserve">Benzoyl Peroxide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Vitamin A including Tretinoin</w:t>
      </w:r>
      <w:r w:rsidRPr="00405CE3">
        <w:rPr>
          <w:sz w:val="20"/>
          <w:szCs w:val="20"/>
        </w:rPr>
        <w:t>,</w:t>
      </w:r>
      <w:r w:rsidRPr="00405CE3">
        <w:rPr>
          <w:sz w:val="20"/>
          <w:szCs w:val="20"/>
        </w:rPr>
        <w:t xml:space="preserve"> Retinol</w:t>
      </w:r>
      <w:r w:rsidRPr="00405CE3">
        <w:rPr>
          <w:sz w:val="20"/>
          <w:szCs w:val="20"/>
        </w:rPr>
        <w:t>,</w:t>
      </w:r>
      <w:r w:rsidRPr="00405CE3">
        <w:rPr>
          <w:sz w:val="20"/>
          <w:szCs w:val="20"/>
        </w:rPr>
        <w:t xml:space="preserve"> Retinyl Palmitate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Skin Bleaching Agents including Hydroquinone</w:t>
      </w:r>
      <w:r w:rsidRPr="00405CE3">
        <w:rPr>
          <w:sz w:val="20"/>
          <w:szCs w:val="20"/>
        </w:rPr>
        <w:t>,</w:t>
      </w:r>
      <w:r w:rsidRPr="00405CE3">
        <w:rPr>
          <w:sz w:val="20"/>
          <w:szCs w:val="20"/>
        </w:rPr>
        <w:t xml:space="preserve"> Kojic Acid</w:t>
      </w:r>
      <w:r w:rsidRPr="00405CE3">
        <w:rPr>
          <w:sz w:val="20"/>
          <w:szCs w:val="20"/>
        </w:rPr>
        <w:t>,</w:t>
      </w:r>
      <w:r w:rsidRPr="00405CE3">
        <w:rPr>
          <w:sz w:val="20"/>
          <w:szCs w:val="20"/>
        </w:rPr>
        <w:t xml:space="preserve"> Azelaic Acid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Alcohol content greater than 6%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You are advised to refrain from the following activities for 48 hours following their Skin Needling treatment to ensure a speedy and effective recovery: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 xml:space="preserve">Excessive </w:t>
      </w:r>
      <w:r w:rsidRPr="00405CE3">
        <w:rPr>
          <w:sz w:val="20"/>
          <w:szCs w:val="20"/>
        </w:rPr>
        <w:t xml:space="preserve">sweating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Sauna</w:t>
      </w:r>
      <w:r w:rsidRPr="00405CE3">
        <w:rPr>
          <w:sz w:val="20"/>
          <w:szCs w:val="20"/>
        </w:rPr>
        <w:t>,</w:t>
      </w:r>
      <w:r w:rsidRPr="00405CE3">
        <w:rPr>
          <w:sz w:val="20"/>
          <w:szCs w:val="20"/>
        </w:rPr>
        <w:t xml:space="preserve"> hot spa</w:t>
      </w:r>
      <w:r w:rsidRPr="00405CE3">
        <w:rPr>
          <w:sz w:val="20"/>
          <w:szCs w:val="20"/>
        </w:rPr>
        <w:t xml:space="preserve">, </w:t>
      </w:r>
      <w:r w:rsidRPr="00405CE3">
        <w:rPr>
          <w:sz w:val="20"/>
          <w:szCs w:val="20"/>
        </w:rPr>
        <w:t>bath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Solarium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Swimming in a chlorinated pool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Infra-red-light exposure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Spray or self-tanning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Cosmetic tattooing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 xml:space="preserve">Shaving 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Waxing</w:t>
      </w:r>
      <w:r w:rsidRPr="00405CE3">
        <w:rPr>
          <w:sz w:val="20"/>
          <w:szCs w:val="20"/>
        </w:rPr>
        <w:t xml:space="preserve">, </w:t>
      </w:r>
      <w:r w:rsidRPr="00405CE3">
        <w:rPr>
          <w:sz w:val="20"/>
          <w:szCs w:val="20"/>
        </w:rPr>
        <w:t>Electrolysis</w:t>
      </w:r>
    </w:p>
    <w:p w:rsidR="00BC7FC9" w:rsidRPr="00405CE3" w:rsidRDefault="00BC7FC9" w:rsidP="00BC7FC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Direct sun exposure</w:t>
      </w:r>
    </w:p>
    <w:p w:rsidR="002F142C" w:rsidRPr="00405CE3" w:rsidRDefault="002F142C" w:rsidP="002F142C">
      <w:pPr>
        <w:spacing w:after="0"/>
        <w:rPr>
          <w:sz w:val="20"/>
          <w:szCs w:val="20"/>
        </w:rPr>
      </w:pPr>
    </w:p>
    <w:p w:rsidR="002F142C" w:rsidRPr="00405CE3" w:rsidRDefault="002F142C" w:rsidP="002F142C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You also need to be aware of:</w:t>
      </w:r>
    </w:p>
    <w:p w:rsidR="002F142C" w:rsidRPr="00405CE3" w:rsidRDefault="002F142C" w:rsidP="002F14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Adverse reactions to the numbing cream and the treatment itself</w:t>
      </w:r>
    </w:p>
    <w:p w:rsidR="002F142C" w:rsidRPr="00405CE3" w:rsidRDefault="002F142C" w:rsidP="002F14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Mild discomfort during the treatment</w:t>
      </w:r>
    </w:p>
    <w:p w:rsidR="002F142C" w:rsidRPr="00405CE3" w:rsidRDefault="002F142C" w:rsidP="002F14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Possible bleeding during the treatment</w:t>
      </w:r>
    </w:p>
    <w:p w:rsidR="002F142C" w:rsidRPr="00405CE3" w:rsidRDefault="002F142C" w:rsidP="002F14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Possible bruising or petechia post treatment</w:t>
      </w:r>
    </w:p>
    <w:p w:rsidR="002F142C" w:rsidRPr="00405CE3" w:rsidRDefault="002F142C" w:rsidP="002F14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P</w:t>
      </w:r>
      <w:r w:rsidRPr="00405CE3">
        <w:rPr>
          <w:sz w:val="20"/>
          <w:szCs w:val="20"/>
        </w:rPr>
        <w:t>ossible skin grazing over concentrated areas post treatment</w:t>
      </w:r>
    </w:p>
    <w:p w:rsidR="002F142C" w:rsidRPr="00405CE3" w:rsidRDefault="002F142C" w:rsidP="002F142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Mild redness which may last up to 3 days</w:t>
      </w:r>
    </w:p>
    <w:p w:rsidR="00BC7FC9" w:rsidRPr="00405CE3" w:rsidRDefault="00BC7FC9" w:rsidP="00BC7FC9">
      <w:pPr>
        <w:pStyle w:val="ListParagraph"/>
        <w:spacing w:after="0"/>
        <w:rPr>
          <w:sz w:val="20"/>
          <w:szCs w:val="20"/>
        </w:rPr>
      </w:pP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 xml:space="preserve">You should also avoid any highly perfumed cosmetics or harsh cleansing agents such as soap or alkaline foaming cleansers. </w:t>
      </w:r>
      <w:r w:rsidRPr="00405CE3">
        <w:rPr>
          <w:sz w:val="20"/>
          <w:szCs w:val="20"/>
        </w:rPr>
        <w:t xml:space="preserve">Patients are to use only </w:t>
      </w:r>
      <w:r w:rsidRPr="00405CE3">
        <w:rPr>
          <w:sz w:val="20"/>
          <w:szCs w:val="20"/>
        </w:rPr>
        <w:t xml:space="preserve">Hyaluronic Serum </w:t>
      </w:r>
      <w:r w:rsidRPr="00405CE3">
        <w:rPr>
          <w:sz w:val="20"/>
          <w:szCs w:val="20"/>
        </w:rPr>
        <w:t>on the skin for 12 hours post treatment and Age Defence SPF 50+ sunscreen every day during the recovery period and beyond, commencing the day after treatment.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You must not expose the skin directly to the sun on the day of treatment prior to and post treatment.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You must not apply make-up until the day after treatment and then it should be mineral based, and only used if necessary.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Chemical peels can be performed safely 4 weeks post treatment.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Microdermabrasion can be performed safely after 2 weeks.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  <w:r w:rsidRPr="00405CE3">
        <w:rPr>
          <w:sz w:val="20"/>
          <w:szCs w:val="20"/>
        </w:rPr>
        <w:t>Needling treatments must be performed (no exceptions) 6 weeks apart to allow the deeper layers of the skin to fully heal.</w:t>
      </w:r>
    </w:p>
    <w:p w:rsidR="00BC7FC9" w:rsidRPr="00405CE3" w:rsidRDefault="00BC7FC9" w:rsidP="00BC7FC9">
      <w:pPr>
        <w:spacing w:after="0"/>
        <w:rPr>
          <w:sz w:val="20"/>
          <w:szCs w:val="20"/>
        </w:rPr>
      </w:pPr>
    </w:p>
    <w:sectPr w:rsidR="00BC7FC9" w:rsidRPr="00405CE3" w:rsidSect="00BC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2630"/>
    <w:multiLevelType w:val="hybridMultilevel"/>
    <w:tmpl w:val="5A747ACE"/>
    <w:lvl w:ilvl="0" w:tplc="F7AE5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93610"/>
    <w:multiLevelType w:val="hybridMultilevel"/>
    <w:tmpl w:val="554A79FA"/>
    <w:lvl w:ilvl="0" w:tplc="96F83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C9"/>
    <w:rsid w:val="00056045"/>
    <w:rsid w:val="002F142C"/>
    <w:rsid w:val="00405CE3"/>
    <w:rsid w:val="00B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BA2E"/>
  <w15:chartTrackingRefBased/>
  <w15:docId w15:val="{3BB864C0-8F80-4788-95FF-50B708B5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Bonnie</dc:creator>
  <cp:keywords/>
  <dc:description/>
  <cp:lastModifiedBy>IRWIN, Bonnie</cp:lastModifiedBy>
  <cp:revision>2</cp:revision>
  <dcterms:created xsi:type="dcterms:W3CDTF">2024-01-09T03:33:00Z</dcterms:created>
  <dcterms:modified xsi:type="dcterms:W3CDTF">2024-01-09T03:47:00Z</dcterms:modified>
</cp:coreProperties>
</file>